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5702A013" w:rsidR="00792594" w:rsidRPr="007255DD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7255DD" w:rsidRPr="007255DD">
        <w:rPr>
          <w:rFonts w:ascii="Times New Roman" w:hAnsi="Times New Roman"/>
          <w:sz w:val="24"/>
          <w:szCs w:val="24"/>
        </w:rPr>
        <w:t>Емкость для питьевой воды 10м3 ст.</w:t>
      </w:r>
      <w:r w:rsidRPr="007255DD">
        <w:rPr>
          <w:rFonts w:ascii="Times New Roman" w:hAnsi="Times New Roman"/>
          <w:sz w:val="24"/>
          <w:szCs w:val="24"/>
        </w:rPr>
        <w:t xml:space="preserve"> </w:t>
      </w:r>
    </w:p>
    <w:p w14:paraId="30B02AC3" w14:textId="36CB32C2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7255DD" w:rsidRPr="007255DD">
        <w:rPr>
          <w:rFonts w:ascii="Times New Roman" w:hAnsi="Times New Roman"/>
          <w:sz w:val="24"/>
          <w:szCs w:val="24"/>
        </w:rPr>
        <w:t>259929.910.000000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64A6883D" w14:textId="623E9F1E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>Емкость горизонтальная, наземная, предназначена для хранения и выдачи питьевой воды на нефтегазовых месторождениях.</w:t>
      </w:r>
    </w:p>
    <w:p w14:paraId="63C5870B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>• Номинальный объем: 10м3.</w:t>
      </w:r>
    </w:p>
    <w:p w14:paraId="2BDA921B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>• Днище коническое, материал сталь Ст3, лист 8 мм.</w:t>
      </w:r>
    </w:p>
    <w:p w14:paraId="7B23D8DE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>• Обечайка, материал сталь Ст3, лист 6 мм.</w:t>
      </w:r>
    </w:p>
    <w:p w14:paraId="2943AC4B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 xml:space="preserve">• Люк </w:t>
      </w:r>
      <w:proofErr w:type="spellStart"/>
      <w:r w:rsidRPr="007255DD">
        <w:rPr>
          <w:rFonts w:ascii="Times New Roman" w:hAnsi="Times New Roman"/>
          <w:sz w:val="24"/>
          <w:szCs w:val="24"/>
        </w:rPr>
        <w:t>Ду</w:t>
      </w:r>
      <w:proofErr w:type="spellEnd"/>
      <w:r w:rsidRPr="007255DD">
        <w:rPr>
          <w:rFonts w:ascii="Times New Roman" w:hAnsi="Times New Roman"/>
          <w:sz w:val="24"/>
          <w:szCs w:val="24"/>
        </w:rPr>
        <w:t xml:space="preserve"> 400, материал сталь Ст3, лист 6 мм.</w:t>
      </w:r>
    </w:p>
    <w:p w14:paraId="2435859A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 xml:space="preserve">• Опоры емкости – 2 </w:t>
      </w:r>
      <w:proofErr w:type="spellStart"/>
      <w:r w:rsidRPr="007255DD">
        <w:rPr>
          <w:rFonts w:ascii="Times New Roman" w:hAnsi="Times New Roman"/>
          <w:sz w:val="24"/>
          <w:szCs w:val="24"/>
        </w:rPr>
        <w:t>шт</w:t>
      </w:r>
      <w:proofErr w:type="spellEnd"/>
      <w:r w:rsidRPr="007255DD">
        <w:rPr>
          <w:rFonts w:ascii="Times New Roman" w:hAnsi="Times New Roman"/>
          <w:sz w:val="24"/>
          <w:szCs w:val="24"/>
        </w:rPr>
        <w:t>, материал сталь Ст3.</w:t>
      </w:r>
    </w:p>
    <w:p w14:paraId="34531BF2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>• На емкости установлены патрубки под залив Ду100, сливной Ду50, дренажный Ду50, воздушник Ду50.</w:t>
      </w:r>
    </w:p>
    <w:p w14:paraId="7363D2D3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>• Теплоизоляция – плиты из минеральной ваты 50 мм.</w:t>
      </w:r>
    </w:p>
    <w:p w14:paraId="579BE688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>• Наружная обшивка емкости – материал сталь Ст3, лист 0,7 мм.</w:t>
      </w:r>
    </w:p>
    <w:p w14:paraId="12E7CF3E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>• Для удобства транспортировки по грунту емкость установлена на санях. Сани для емкости изготовлены из стального швеллера №24. Материал швеллера сталь Ст3.</w:t>
      </w:r>
    </w:p>
    <w:p w14:paraId="62063D36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>Сани грузоподъемностью не менее 10 000 кг.</w:t>
      </w:r>
    </w:p>
    <w:p w14:paraId="24672998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 xml:space="preserve">• Для обогрева емкости в холодное время установлен греющий кабель с терморегулятором. Характеристика кабеля с терморегулятором отрезной кабель имеет две токопроводящие жилы, которые соединены между собой специальной матрицей. Наружная оболочка: </w:t>
      </w:r>
      <w:proofErr w:type="spellStart"/>
      <w:r w:rsidRPr="007255DD">
        <w:rPr>
          <w:rFonts w:ascii="Times New Roman" w:hAnsi="Times New Roman"/>
          <w:sz w:val="24"/>
          <w:szCs w:val="24"/>
        </w:rPr>
        <w:t>фторполимер</w:t>
      </w:r>
      <w:proofErr w:type="spellEnd"/>
      <w:r w:rsidRPr="007255DD">
        <w:rPr>
          <w:rFonts w:ascii="Times New Roman" w:hAnsi="Times New Roman"/>
          <w:sz w:val="24"/>
          <w:szCs w:val="24"/>
        </w:rPr>
        <w:t xml:space="preserve">. Мощность кабеля 30 Вт/м при 10°С. Радиус изгиба </w:t>
      </w:r>
      <w:proofErr w:type="spellStart"/>
      <w:r w:rsidRPr="007255DD">
        <w:rPr>
          <w:rFonts w:ascii="Times New Roman" w:hAnsi="Times New Roman"/>
          <w:sz w:val="24"/>
          <w:szCs w:val="24"/>
        </w:rPr>
        <w:t>min</w:t>
      </w:r>
      <w:proofErr w:type="spellEnd"/>
      <w:r w:rsidRPr="007255DD">
        <w:rPr>
          <w:rFonts w:ascii="Times New Roman" w:hAnsi="Times New Roman"/>
          <w:sz w:val="24"/>
          <w:szCs w:val="24"/>
        </w:rPr>
        <w:t xml:space="preserve"> 25 мм. Диаметр нагревательного кабеля: 13 х 7 мм. Напряжение сети 190-250 VAC. Медная экранирующая оплетка. Медная жила. Рабочая температура </w:t>
      </w:r>
      <w:proofErr w:type="spellStart"/>
      <w:r w:rsidRPr="007255DD">
        <w:rPr>
          <w:rFonts w:ascii="Times New Roman" w:hAnsi="Times New Roman"/>
          <w:sz w:val="24"/>
          <w:szCs w:val="24"/>
        </w:rPr>
        <w:t>max</w:t>
      </w:r>
      <w:proofErr w:type="spellEnd"/>
      <w:r w:rsidRPr="007255DD">
        <w:rPr>
          <w:rFonts w:ascii="Times New Roman" w:hAnsi="Times New Roman"/>
          <w:sz w:val="24"/>
          <w:szCs w:val="24"/>
        </w:rPr>
        <w:t xml:space="preserve"> 65°С. Кабель с терморегулятором предотвращает перегрев и замыкания электрической цепи. Напряжение питания кабеля 220В, погонная мощность не менее 20 Вт/м.</w:t>
      </w:r>
    </w:p>
    <w:p w14:paraId="24B3720E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 xml:space="preserve">• Наружное антикоррозионное покрытие емкости – применять исключительно </w:t>
      </w:r>
      <w:proofErr w:type="gramStart"/>
      <w:r w:rsidRPr="007255DD">
        <w:rPr>
          <w:rFonts w:ascii="Times New Roman" w:hAnsi="Times New Roman"/>
          <w:sz w:val="24"/>
          <w:szCs w:val="24"/>
        </w:rPr>
        <w:t>лакокрасочный материал</w:t>
      </w:r>
      <w:proofErr w:type="gramEnd"/>
      <w:r w:rsidRPr="007255DD">
        <w:rPr>
          <w:rFonts w:ascii="Times New Roman" w:hAnsi="Times New Roman"/>
          <w:sz w:val="24"/>
          <w:szCs w:val="24"/>
        </w:rPr>
        <w:t xml:space="preserve"> изготовленный по стандартам ГОСТа, применяемый для окраски металлических поверхностей. Обеспечивает адгезию и антикоррозионную защиту поверхности. </w:t>
      </w:r>
    </w:p>
    <w:p w14:paraId="132B41A7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 xml:space="preserve">• Внутреннее антикоррозионное покрытие емкости – самостоятельное покрытие для защиты металла от коррозии, </w:t>
      </w:r>
      <w:proofErr w:type="spellStart"/>
      <w:r w:rsidRPr="007255DD">
        <w:rPr>
          <w:rFonts w:ascii="Times New Roman" w:hAnsi="Times New Roman"/>
          <w:sz w:val="24"/>
          <w:szCs w:val="24"/>
        </w:rPr>
        <w:t>назчение</w:t>
      </w:r>
      <w:proofErr w:type="spellEnd"/>
      <w:r w:rsidRPr="007255DD">
        <w:rPr>
          <w:rFonts w:ascii="Times New Roman" w:hAnsi="Times New Roman"/>
          <w:sz w:val="24"/>
          <w:szCs w:val="24"/>
        </w:rPr>
        <w:t xml:space="preserve"> для питьевой воды. </w:t>
      </w:r>
    </w:p>
    <w:p w14:paraId="7D8270D7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 xml:space="preserve">• Покрытие обшивки – грунтовка, </w:t>
      </w:r>
      <w:proofErr w:type="gramStart"/>
      <w:r w:rsidRPr="007255DD">
        <w:rPr>
          <w:rFonts w:ascii="Times New Roman" w:hAnsi="Times New Roman"/>
          <w:sz w:val="24"/>
          <w:szCs w:val="24"/>
        </w:rPr>
        <w:t>система покрытия</w:t>
      </w:r>
      <w:proofErr w:type="gramEnd"/>
      <w:r w:rsidRPr="007255DD">
        <w:rPr>
          <w:rFonts w:ascii="Times New Roman" w:hAnsi="Times New Roman"/>
          <w:sz w:val="24"/>
          <w:szCs w:val="24"/>
        </w:rPr>
        <w:t xml:space="preserve"> состоящая из одного слоя из суспензии пигментов и наполнителей в растворе алкидно-</w:t>
      </w:r>
      <w:proofErr w:type="spellStart"/>
      <w:r w:rsidRPr="007255DD">
        <w:rPr>
          <w:rFonts w:ascii="Times New Roman" w:hAnsi="Times New Roman"/>
          <w:sz w:val="24"/>
          <w:szCs w:val="24"/>
        </w:rPr>
        <w:t>меламино</w:t>
      </w:r>
      <w:proofErr w:type="spellEnd"/>
      <w:r w:rsidRPr="007255DD">
        <w:rPr>
          <w:rFonts w:ascii="Times New Roman" w:hAnsi="Times New Roman"/>
          <w:sz w:val="24"/>
          <w:szCs w:val="24"/>
        </w:rPr>
        <w:t xml:space="preserve">-формальдегидного лака с добавлением </w:t>
      </w:r>
      <w:proofErr w:type="spellStart"/>
      <w:r w:rsidRPr="007255DD">
        <w:rPr>
          <w:rFonts w:ascii="Times New Roman" w:hAnsi="Times New Roman"/>
          <w:sz w:val="24"/>
          <w:szCs w:val="24"/>
        </w:rPr>
        <w:t>низкомлекулярной</w:t>
      </w:r>
      <w:proofErr w:type="spellEnd"/>
      <w:r w:rsidRPr="007255DD">
        <w:rPr>
          <w:rFonts w:ascii="Times New Roman" w:hAnsi="Times New Roman"/>
          <w:sz w:val="24"/>
          <w:szCs w:val="24"/>
        </w:rPr>
        <w:t xml:space="preserve"> эпоксидной смолы. Назначение для окраски поверхностей емкости с целью защиты от коррозии; эмаль </w:t>
      </w:r>
      <w:proofErr w:type="gramStart"/>
      <w:r w:rsidRPr="007255DD">
        <w:rPr>
          <w:rFonts w:ascii="Times New Roman" w:hAnsi="Times New Roman"/>
          <w:sz w:val="24"/>
          <w:szCs w:val="24"/>
        </w:rPr>
        <w:t>белая система покрытия</w:t>
      </w:r>
      <w:proofErr w:type="gramEnd"/>
      <w:r w:rsidRPr="007255DD">
        <w:rPr>
          <w:rFonts w:ascii="Times New Roman" w:hAnsi="Times New Roman"/>
          <w:sz w:val="24"/>
          <w:szCs w:val="24"/>
        </w:rPr>
        <w:t xml:space="preserve"> состоящая из 2 слоев - из суспензии пигментов в растворе алкидно-</w:t>
      </w:r>
      <w:proofErr w:type="spellStart"/>
      <w:r w:rsidRPr="007255DD">
        <w:rPr>
          <w:rFonts w:ascii="Times New Roman" w:hAnsi="Times New Roman"/>
          <w:sz w:val="24"/>
          <w:szCs w:val="24"/>
        </w:rPr>
        <w:t>меламино</w:t>
      </w:r>
      <w:proofErr w:type="spellEnd"/>
      <w:r w:rsidRPr="007255DD">
        <w:rPr>
          <w:rFonts w:ascii="Times New Roman" w:hAnsi="Times New Roman"/>
          <w:sz w:val="24"/>
          <w:szCs w:val="24"/>
        </w:rPr>
        <w:t>-формальдегидных смол в органических растворителях с добавлением специальных добавок. Обладает высокой адгезией, твердостью, блеском. Нанесение эмали методом распыления на сухую очищенную поверхность. Назначение эмали защита от воздействия суровых климатических условий.</w:t>
      </w:r>
    </w:p>
    <w:p w14:paraId="102FEBC2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 xml:space="preserve">• Емкость оснащена магнитным уровнемером (для визуального контроля уровня жидкости). Корпус </w:t>
      </w:r>
      <w:proofErr w:type="spellStart"/>
      <w:r w:rsidRPr="007255DD">
        <w:rPr>
          <w:rFonts w:ascii="Times New Roman" w:hAnsi="Times New Roman"/>
          <w:sz w:val="24"/>
          <w:szCs w:val="24"/>
        </w:rPr>
        <w:t>уровномера</w:t>
      </w:r>
      <w:proofErr w:type="spellEnd"/>
      <w:r w:rsidRPr="007255DD">
        <w:rPr>
          <w:rFonts w:ascii="Times New Roman" w:hAnsi="Times New Roman"/>
          <w:sz w:val="24"/>
          <w:szCs w:val="24"/>
        </w:rPr>
        <w:t xml:space="preserve"> изготовлен из соединяющих стальных материалов.</w:t>
      </w:r>
    </w:p>
    <w:p w14:paraId="19742A80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>• Емкость оборудована площадкой обслуживания с лестницей. Размеры и параметры площадки, сталь Ст3. Высота перил площадки не менее 120см, Размер площадки ширина 100см, длина 100см. Дно площадки рифленый металл. Форма площадки согласовывается с Заказчиком. Размеры и параметры лестницы: материал ступеней арматура из стали Ст3 диаметром не менее 18мм не более 20мм препятствующего скольжению; ширина ступеней 60см; шаг ступеней 30см, конструкция лестницы должна выдерживать сосредоточенный груз 4,5 кН; Высота до начала ограждения не менее 220см не более 300см.</w:t>
      </w:r>
    </w:p>
    <w:p w14:paraId="188F2CBF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B4505C" w14:textId="77777777" w:rsidR="007255DD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>Требование к поставщику:</w:t>
      </w:r>
    </w:p>
    <w:p w14:paraId="18738A0D" w14:textId="6B7BC35E" w:rsidR="00792594" w:rsidRPr="007255DD" w:rsidRDefault="007255DD" w:rsidP="0072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55DD">
        <w:rPr>
          <w:rFonts w:ascii="Times New Roman" w:hAnsi="Times New Roman"/>
          <w:sz w:val="24"/>
          <w:szCs w:val="24"/>
        </w:rPr>
        <w:t xml:space="preserve">Вместе с поставкой товара предоставление документов, подтверждающие соответствие качества материалов, эмалей требованиям, установленным техническими регламентами, </w:t>
      </w:r>
      <w:r w:rsidRPr="007255DD">
        <w:rPr>
          <w:rFonts w:ascii="Times New Roman" w:hAnsi="Times New Roman"/>
          <w:sz w:val="24"/>
          <w:szCs w:val="24"/>
        </w:rPr>
        <w:lastRenderedPageBreak/>
        <w:t>положениями стандартов или иными документами в соответствии с законодательством Республики Казахстан.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42F34AD6" w:rsidR="00792594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3294934" w14:textId="77777777" w:rsidR="00053064" w:rsidRPr="00566A87" w:rsidRDefault="00053064" w:rsidP="000530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31EA0E62" w14:textId="77777777" w:rsidR="00053064" w:rsidRPr="00566A87" w:rsidRDefault="00053064" w:rsidP="000530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Тегисбаева Мадина Саиновна</w:t>
      </w:r>
    </w:p>
    <w:p w14:paraId="7B368BCE" w14:textId="77777777" w:rsidR="00053064" w:rsidRDefault="00053064" w:rsidP="000530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m.tegisbayeva@omg.kmg.kz</w:t>
        </w:r>
      </w:hyperlink>
    </w:p>
    <w:p w14:paraId="0A8ADF0B" w14:textId="769E659A" w:rsidR="00053064" w:rsidRPr="00E240A0" w:rsidRDefault="00053064" w:rsidP="0005306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63376</w:t>
      </w:r>
      <w:bookmarkStart w:id="0" w:name="_GoBack"/>
      <w:bookmarkEnd w:id="0"/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DE028" w14:textId="77777777" w:rsidR="00FC626C" w:rsidRDefault="00FC626C" w:rsidP="00196677">
      <w:pPr>
        <w:spacing w:after="0" w:line="240" w:lineRule="auto"/>
      </w:pPr>
      <w:r>
        <w:separator/>
      </w:r>
    </w:p>
  </w:endnote>
  <w:endnote w:type="continuationSeparator" w:id="0">
    <w:p w14:paraId="198105CC" w14:textId="77777777" w:rsidR="00FC626C" w:rsidRDefault="00FC626C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91436" w14:textId="77777777" w:rsidR="00FC626C" w:rsidRDefault="00FC626C" w:rsidP="00196677">
      <w:pPr>
        <w:spacing w:after="0" w:line="240" w:lineRule="auto"/>
      </w:pPr>
      <w:r>
        <w:separator/>
      </w:r>
    </w:p>
  </w:footnote>
  <w:footnote w:type="continuationSeparator" w:id="0">
    <w:p w14:paraId="04D00C02" w14:textId="77777777" w:rsidR="00FC626C" w:rsidRDefault="00FC626C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1707D05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064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3064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5DD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5735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626C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tegisbayeva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489B7-8B35-4D7A-A51A-9D380A060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2024-02-20T14:33:00Z</dcterms:modified>
</cp:coreProperties>
</file>